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5"/>
        <w:gridCol w:w="4307"/>
      </w:tblGrid>
      <w:tr w:rsidR="00DB4EA2" w:rsidRPr="009F0ED3" w:rsidTr="009F0ED3">
        <w:tc>
          <w:tcPr>
            <w:tcW w:w="5000" w:type="pct"/>
            <w:gridSpan w:val="2"/>
            <w:shd w:val="clear" w:color="auto" w:fill="2E74B5" w:themeFill="accent1" w:themeFillShade="BF"/>
          </w:tcPr>
          <w:p w:rsidR="00DB4EA2" w:rsidRPr="00AE2F29" w:rsidRDefault="00D134D8" w:rsidP="009F0ED3">
            <w:pPr>
              <w:spacing w:before="120" w:after="120"/>
              <w:rPr>
                <w:rFonts w:ascii="Arial" w:hAnsi="Arial" w:cs="Arial"/>
                <w:b/>
                <w:color w:val="D9D9D9" w:themeColor="background1" w:themeShade="D9"/>
                <w:sz w:val="28"/>
                <w:szCs w:val="24"/>
              </w:rPr>
            </w:pPr>
            <w:r w:rsidRPr="00AE2F29">
              <w:rPr>
                <w:rFonts w:ascii="Arial" w:hAnsi="Arial" w:cs="Arial"/>
                <w:b/>
                <w:color w:val="D9D9D9" w:themeColor="background1" w:themeShade="D9"/>
                <w:sz w:val="28"/>
                <w:szCs w:val="24"/>
              </w:rPr>
              <w:t>ASMENINIŲ APSAUGOS PRIEMONIŲ (AAP) DĖVĖJIMO SEKA</w:t>
            </w:r>
          </w:p>
        </w:tc>
      </w:tr>
      <w:tr w:rsidR="00DB4EA2" w:rsidRPr="009F0ED3" w:rsidTr="009F0ED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B4EA2" w:rsidRPr="009F0ED3" w:rsidRDefault="00DB4EA2" w:rsidP="009F0ED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ED3">
              <w:rPr>
                <w:rFonts w:ascii="Arial" w:hAnsi="Arial" w:cs="Arial"/>
                <w:sz w:val="24"/>
                <w:szCs w:val="24"/>
              </w:rPr>
              <w:t>Asmeninės apsaugos priemonės (AAP) yra įvairios, jų naudojimas priklauso nuo reikalingo ap</w:t>
            </w:r>
            <w:bookmarkStart w:id="0" w:name="_GoBack"/>
            <w:bookmarkEnd w:id="0"/>
            <w:r w:rsidRPr="009F0ED3">
              <w:rPr>
                <w:rFonts w:ascii="Arial" w:hAnsi="Arial" w:cs="Arial"/>
                <w:sz w:val="24"/>
                <w:szCs w:val="24"/>
              </w:rPr>
              <w:t xml:space="preserve">saugos lygio </w:t>
            </w:r>
            <w:r w:rsidR="00055298" w:rsidRPr="009F0ED3">
              <w:rPr>
                <w:rFonts w:ascii="Arial" w:hAnsi="Arial" w:cs="Arial"/>
                <w:sz w:val="24"/>
                <w:szCs w:val="24"/>
              </w:rPr>
              <w:t>–</w:t>
            </w:r>
            <w:r w:rsidRPr="009F0ED3">
              <w:rPr>
                <w:rFonts w:ascii="Arial" w:hAnsi="Arial" w:cs="Arial"/>
                <w:sz w:val="24"/>
                <w:szCs w:val="24"/>
              </w:rPr>
              <w:t xml:space="preserve"> standartinio ir kontaktinio, oro lašeliniu</w:t>
            </w:r>
            <w:r w:rsidR="003F1625" w:rsidRPr="009F0ED3">
              <w:rPr>
                <w:rFonts w:ascii="Arial" w:hAnsi="Arial" w:cs="Arial"/>
                <w:sz w:val="24"/>
                <w:szCs w:val="24"/>
              </w:rPr>
              <w:t xml:space="preserve"> bū</w:t>
            </w:r>
            <w:r w:rsidRPr="009F0ED3">
              <w:rPr>
                <w:rFonts w:ascii="Arial" w:hAnsi="Arial" w:cs="Arial"/>
                <w:sz w:val="24"/>
                <w:szCs w:val="24"/>
              </w:rPr>
              <w:t>du ar ore plintančių infekcijų prevencijai. AAP apsirengimo ir nuėmimo procedūra atliekama priklausomai nuo apsaugos priemonių tipo.</w:t>
            </w:r>
          </w:p>
        </w:tc>
      </w:tr>
      <w:tr w:rsidR="004A4E7D" w:rsidRPr="009F0ED3" w:rsidTr="000B7328">
        <w:tc>
          <w:tcPr>
            <w:tcW w:w="3016" w:type="pct"/>
            <w:tcBorders>
              <w:bottom w:val="nil"/>
              <w:right w:val="nil"/>
            </w:tcBorders>
          </w:tcPr>
          <w:p w:rsidR="004A4E7D" w:rsidRPr="009F0ED3" w:rsidRDefault="004A4E7D" w:rsidP="000B7328">
            <w:pPr>
              <w:spacing w:before="120" w:after="12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b/>
                <w:color w:val="2E74B5" w:themeColor="accent1" w:themeShade="BF"/>
                <w:sz w:val="28"/>
                <w:szCs w:val="24"/>
              </w:rPr>
              <w:t>1. APSAUGINIS CHALATAS</w:t>
            </w:r>
          </w:p>
        </w:tc>
        <w:tc>
          <w:tcPr>
            <w:tcW w:w="1984" w:type="pct"/>
            <w:vMerge w:val="restart"/>
            <w:tcBorders>
              <w:left w:val="nil"/>
            </w:tcBorders>
            <w:vAlign w:val="center"/>
          </w:tcPr>
          <w:p w:rsidR="001F30BB" w:rsidRPr="009F0ED3" w:rsidRDefault="001F30BB" w:rsidP="000B73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352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98.25pt" o:ole="">
                  <v:imagedata r:id="rId7" o:title=""/>
                </v:shape>
                <o:OLEObject Type="Embed" ProgID="PBrush" ShapeID="_x0000_i1025" DrawAspect="Content" ObjectID="_1646721257" r:id="rId8"/>
              </w:object>
            </w:r>
          </w:p>
        </w:tc>
      </w:tr>
      <w:tr w:rsidR="004A4E7D" w:rsidRPr="009F0ED3" w:rsidTr="000B7328">
        <w:tc>
          <w:tcPr>
            <w:tcW w:w="301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A4E7D" w:rsidRPr="009F0ED3" w:rsidRDefault="004A4E7D" w:rsidP="009F0ED3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Užsivilkite apsauginį chalatą taip, kad priekinė kūno dalis nuo kaklo iki kelių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,</w:t>
            </w: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0B732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rankos</w:t>
            </w: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ir rieš</w:t>
            </w:r>
            <w:r w:rsidR="000B732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ai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,</w:t>
            </w: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būtų pilnai uždengti, bei apgaubkite nugarą chalatu.</w:t>
            </w:r>
          </w:p>
          <w:p w:rsidR="004A4E7D" w:rsidRPr="009F0ED3" w:rsidRDefault="004A4E7D" w:rsidP="009F0ED3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Nugaroje apsauginį chalatą </w:t>
            </w:r>
            <w:r w:rsidR="00055298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fiksuokite</w:t>
            </w: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ties kaklu ir juosmeniu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A4E7D" w:rsidRPr="009F0ED3" w:rsidRDefault="004A4E7D" w:rsidP="000B73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E7D" w:rsidRPr="009F0ED3" w:rsidTr="000B7328">
        <w:tc>
          <w:tcPr>
            <w:tcW w:w="3016" w:type="pct"/>
            <w:tcBorders>
              <w:bottom w:val="nil"/>
              <w:right w:val="nil"/>
            </w:tcBorders>
          </w:tcPr>
          <w:p w:rsidR="004A4E7D" w:rsidRPr="009F0ED3" w:rsidRDefault="004A4E7D" w:rsidP="000B7328">
            <w:pPr>
              <w:spacing w:before="120" w:after="12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b/>
                <w:color w:val="2E74B5" w:themeColor="accent1" w:themeShade="BF"/>
                <w:sz w:val="28"/>
                <w:szCs w:val="24"/>
              </w:rPr>
              <w:t>2. APSAUGINĖS KAUKĖS IR RESPIRATORIAI</w:t>
            </w:r>
          </w:p>
        </w:tc>
        <w:tc>
          <w:tcPr>
            <w:tcW w:w="1984" w:type="pct"/>
            <w:vMerge w:val="restart"/>
            <w:tcBorders>
              <w:left w:val="nil"/>
            </w:tcBorders>
            <w:vAlign w:val="center"/>
          </w:tcPr>
          <w:p w:rsidR="001F30BB" w:rsidRPr="009F0ED3" w:rsidRDefault="009F0ED3" w:rsidP="000B73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3645" w:dyaOrig="2145">
                <v:shape id="_x0000_i1026" type="#_x0000_t75" style="width:165.75pt;height:97.5pt" o:ole="">
                  <v:imagedata r:id="rId9" o:title=""/>
                </v:shape>
                <o:OLEObject Type="Embed" ProgID="PBrush" ShapeID="_x0000_i1026" DrawAspect="Content" ObjectID="_1646721258" r:id="rId10"/>
              </w:object>
            </w:r>
          </w:p>
        </w:tc>
      </w:tr>
      <w:tr w:rsidR="004A4E7D" w:rsidRPr="009F0ED3" w:rsidTr="000B7328">
        <w:tc>
          <w:tcPr>
            <w:tcW w:w="301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A4E7D" w:rsidRPr="009F0ED3" w:rsidRDefault="004A4E7D" w:rsidP="009F0ED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Užsiriškite kaukės elastines juosteles ar raištelius ties galvos viduriu ir kaklu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  <w:p w:rsidR="004A4E7D" w:rsidRPr="009F0ED3" w:rsidRDefault="004A4E7D" w:rsidP="009F0ED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Apsauginės kaukės lanksčiąją juostelę prispauskite prie nosies viršaus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  <w:p w:rsidR="004A4E7D" w:rsidRPr="009F0ED3" w:rsidRDefault="004A4E7D" w:rsidP="009F0ED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Kaukė turi priglusti prie veido ir </w:t>
            </w:r>
            <w:r w:rsidR="000B732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po smakru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  <w:p w:rsidR="004A4E7D" w:rsidRPr="009F0ED3" w:rsidRDefault="003F1625" w:rsidP="009F0ED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Pritaikykite</w:t>
            </w:r>
            <w:r w:rsidR="004A4E7D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respiratorių</w:t>
            </w: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A4E7D" w:rsidRPr="009F0ED3" w:rsidRDefault="004A4E7D" w:rsidP="000B73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E7D" w:rsidRPr="009F0ED3" w:rsidTr="000B7328">
        <w:tc>
          <w:tcPr>
            <w:tcW w:w="3016" w:type="pct"/>
            <w:tcBorders>
              <w:bottom w:val="nil"/>
              <w:right w:val="nil"/>
            </w:tcBorders>
          </w:tcPr>
          <w:p w:rsidR="004A4E7D" w:rsidRPr="009F0ED3" w:rsidRDefault="004A4E7D" w:rsidP="000B7328">
            <w:pPr>
              <w:spacing w:before="120" w:after="120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b/>
                <w:color w:val="2E74B5" w:themeColor="accent1" w:themeShade="BF"/>
                <w:sz w:val="28"/>
                <w:szCs w:val="24"/>
              </w:rPr>
              <w:t xml:space="preserve">3. APSAUGINIAI AKINIAI ARBA </w:t>
            </w:r>
            <w:r w:rsidR="00055298" w:rsidRPr="009F0ED3">
              <w:rPr>
                <w:rFonts w:ascii="Arial" w:hAnsi="Arial" w:cs="Arial"/>
                <w:b/>
                <w:color w:val="2E74B5" w:themeColor="accent1" w:themeShade="BF"/>
                <w:sz w:val="28"/>
                <w:szCs w:val="24"/>
              </w:rPr>
              <w:t>SKYDAS</w:t>
            </w:r>
          </w:p>
        </w:tc>
        <w:tc>
          <w:tcPr>
            <w:tcW w:w="1984" w:type="pct"/>
            <w:vMerge w:val="restart"/>
            <w:tcBorders>
              <w:left w:val="nil"/>
            </w:tcBorders>
            <w:vAlign w:val="center"/>
          </w:tcPr>
          <w:p w:rsidR="004A4E7D" w:rsidRPr="009F0ED3" w:rsidRDefault="001F30BB" w:rsidP="000B73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4095" w:dyaOrig="1500">
                <v:shape id="_x0000_i1027" type="#_x0000_t75" style="width:204.75pt;height:75pt" o:ole="">
                  <v:imagedata r:id="rId11" o:title=""/>
                </v:shape>
                <o:OLEObject Type="Embed" ProgID="PBrush" ShapeID="_x0000_i1027" DrawAspect="Content" ObjectID="_1646721259" r:id="rId12"/>
              </w:object>
            </w:r>
          </w:p>
        </w:tc>
      </w:tr>
      <w:tr w:rsidR="004A4E7D" w:rsidRPr="009F0ED3" w:rsidTr="000B7328">
        <w:tc>
          <w:tcPr>
            <w:tcW w:w="3016" w:type="pct"/>
            <w:tcBorders>
              <w:top w:val="nil"/>
              <w:bottom w:val="single" w:sz="4" w:space="0" w:color="auto"/>
              <w:right w:val="nil"/>
            </w:tcBorders>
          </w:tcPr>
          <w:p w:rsidR="004A4E7D" w:rsidRPr="009F0ED3" w:rsidRDefault="004A4E7D" w:rsidP="009F0ED3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Užsidėkite ant veido apsauginius akinius ar </w:t>
            </w:r>
            <w:r w:rsidR="00055298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skydą</w:t>
            </w:r>
            <w:r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ir juos susireguliuokite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  <w:p w:rsidR="004A4E7D" w:rsidRPr="009F0ED3" w:rsidRDefault="004A4E7D" w:rsidP="009F0ED3">
            <w:pPr>
              <w:spacing w:before="120" w:after="120"/>
              <w:contextualSpacing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A4E7D" w:rsidRPr="009F0ED3" w:rsidRDefault="004A4E7D" w:rsidP="000B73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E7D" w:rsidRPr="009F0ED3" w:rsidTr="000B7328">
        <w:tc>
          <w:tcPr>
            <w:tcW w:w="3016" w:type="pct"/>
            <w:tcBorders>
              <w:bottom w:val="nil"/>
              <w:right w:val="nil"/>
            </w:tcBorders>
          </w:tcPr>
          <w:p w:rsidR="004A4E7D" w:rsidRPr="009F0ED3" w:rsidRDefault="004A4E7D" w:rsidP="000B7328">
            <w:pPr>
              <w:spacing w:before="120" w:after="120"/>
              <w:rPr>
                <w:rFonts w:ascii="Arial" w:hAnsi="Arial" w:cs="Arial"/>
                <w:b/>
                <w:color w:val="2E74B5" w:themeColor="accent1" w:themeShade="BF"/>
                <w:sz w:val="28"/>
                <w:szCs w:val="24"/>
              </w:rPr>
            </w:pPr>
            <w:r w:rsidRPr="009F0ED3">
              <w:rPr>
                <w:rFonts w:ascii="Arial" w:hAnsi="Arial" w:cs="Arial"/>
                <w:b/>
                <w:color w:val="2E74B5" w:themeColor="accent1" w:themeShade="BF"/>
                <w:sz w:val="28"/>
                <w:szCs w:val="24"/>
              </w:rPr>
              <w:t>4. PIRŠTINĖS</w:t>
            </w:r>
          </w:p>
        </w:tc>
        <w:tc>
          <w:tcPr>
            <w:tcW w:w="1984" w:type="pct"/>
            <w:vMerge w:val="restart"/>
            <w:tcBorders>
              <w:left w:val="nil"/>
            </w:tcBorders>
            <w:vAlign w:val="center"/>
          </w:tcPr>
          <w:p w:rsidR="004A4E7D" w:rsidRPr="009F0ED3" w:rsidRDefault="009F0ED3" w:rsidP="000B732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3165" w:dyaOrig="1725">
                <v:shape id="_x0000_i1028" type="#_x0000_t75" style="width:138pt;height:75.75pt" o:ole="">
                  <v:imagedata r:id="rId13" o:title=""/>
                </v:shape>
                <o:OLEObject Type="Embed" ProgID="PBrush" ShapeID="_x0000_i1028" DrawAspect="Content" ObjectID="_1646721260" r:id="rId14"/>
              </w:object>
            </w:r>
          </w:p>
        </w:tc>
      </w:tr>
      <w:tr w:rsidR="004A4E7D" w:rsidRPr="009F0ED3" w:rsidTr="009F0ED3">
        <w:tc>
          <w:tcPr>
            <w:tcW w:w="3016" w:type="pct"/>
            <w:tcBorders>
              <w:top w:val="nil"/>
              <w:right w:val="nil"/>
            </w:tcBorders>
          </w:tcPr>
          <w:p w:rsidR="004A4E7D" w:rsidRPr="009F0ED3" w:rsidRDefault="000B7328" w:rsidP="000B732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Užsitempkite pirštines ant riešų</w:t>
            </w:r>
            <w:r w:rsidR="004A4E7D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, kad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persidengtų su chalato rankogaliais</w:t>
            </w:r>
            <w:r w:rsidR="003F1625" w:rsidRPr="009F0ED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nil"/>
            </w:tcBorders>
          </w:tcPr>
          <w:p w:rsidR="004A4E7D" w:rsidRPr="009F0ED3" w:rsidRDefault="004A4E7D" w:rsidP="009F0E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A6C" w:rsidRPr="009F0ED3" w:rsidTr="009F0ED3">
        <w:tc>
          <w:tcPr>
            <w:tcW w:w="5000" w:type="pct"/>
            <w:gridSpan w:val="2"/>
            <w:shd w:val="clear" w:color="auto" w:fill="2E74B5" w:themeFill="accent1" w:themeFillShade="BF"/>
          </w:tcPr>
          <w:p w:rsidR="00BF1A6C" w:rsidRPr="00AE2F29" w:rsidRDefault="00BF1A6C" w:rsidP="009F0ED3">
            <w:pPr>
              <w:spacing w:before="120" w:after="120"/>
              <w:rPr>
                <w:rFonts w:ascii="Arial" w:hAnsi="Arial" w:cs="Arial"/>
                <w:b/>
                <w:color w:val="D9D9D9" w:themeColor="background1" w:themeShade="D9"/>
                <w:sz w:val="28"/>
                <w:szCs w:val="24"/>
              </w:rPr>
            </w:pPr>
            <w:r w:rsidRPr="00AE2F29">
              <w:rPr>
                <w:rFonts w:ascii="Arial" w:hAnsi="Arial" w:cs="Arial"/>
                <w:b/>
                <w:color w:val="D9D9D9" w:themeColor="background1" w:themeShade="D9"/>
                <w:sz w:val="28"/>
                <w:szCs w:val="24"/>
              </w:rPr>
              <w:t>DIRBKITE SAUGIAI, KAD APSAUGOTUMĖTE SAVE IR SUMAŽINTUMĖTE UŽKRATO PLITIMĄ</w:t>
            </w:r>
            <w:r w:rsidR="000B7328">
              <w:rPr>
                <w:rFonts w:ascii="Arial" w:hAnsi="Arial" w:cs="Arial"/>
                <w:b/>
                <w:color w:val="D9D9D9" w:themeColor="background1" w:themeShade="D9"/>
                <w:sz w:val="28"/>
                <w:szCs w:val="24"/>
              </w:rPr>
              <w:t>!</w:t>
            </w:r>
          </w:p>
        </w:tc>
      </w:tr>
      <w:tr w:rsidR="00BF1A6C" w:rsidRPr="009F0ED3" w:rsidTr="00D134D8">
        <w:tc>
          <w:tcPr>
            <w:tcW w:w="5000" w:type="pct"/>
            <w:gridSpan w:val="2"/>
          </w:tcPr>
          <w:p w:rsidR="00BF1A6C" w:rsidRPr="009F0ED3" w:rsidRDefault="00BF1A6C" w:rsidP="009F0ED3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Nelieskite veido rankomis</w:t>
            </w:r>
            <w:r w:rsidR="003F1625"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F1A6C" w:rsidRPr="009F0ED3" w:rsidRDefault="00BF1A6C" w:rsidP="009F0ED3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Ribokite lietimąsi prie paviršių</w:t>
            </w:r>
            <w:r w:rsidR="003F1625"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F1A6C" w:rsidRPr="009F0ED3" w:rsidRDefault="00BF1A6C" w:rsidP="009F0ED3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Pasikeiskite pirštines, kai jos yra pažeistos ar labai užterštos</w:t>
            </w:r>
            <w:r w:rsidR="003F1625"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F1A6C" w:rsidRPr="004C00AF" w:rsidRDefault="00BF1A6C" w:rsidP="009F0ED3">
            <w:pPr>
              <w:pStyle w:val="ListParagraph"/>
              <w:numPr>
                <w:ilvl w:val="1"/>
                <w:numId w:val="16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Atlikite rankų higieną</w:t>
            </w:r>
            <w:r w:rsidR="003F1625" w:rsidRPr="009F0E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00AF" w:rsidRPr="009F0ED3" w:rsidTr="00D134D8">
        <w:tc>
          <w:tcPr>
            <w:tcW w:w="5000" w:type="pct"/>
            <w:gridSpan w:val="2"/>
          </w:tcPr>
          <w:p w:rsidR="004C00AF" w:rsidRPr="00AE2F29" w:rsidRDefault="00AE2F29" w:rsidP="00AE2F29">
            <w:pPr>
              <w:pStyle w:val="ListParagraph"/>
              <w:spacing w:before="120" w:after="120"/>
              <w:ind w:left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E2F29">
              <w:rPr>
                <w:rFonts w:ascii="Arial" w:hAnsi="Arial" w:cs="Arial"/>
                <w:color w:val="000000" w:themeColor="text1"/>
                <w:sz w:val="20"/>
                <w:szCs w:val="24"/>
              </w:rPr>
              <w:t>Rekomendacijos parengtos vadovaujantis:</w:t>
            </w:r>
          </w:p>
          <w:p w:rsidR="00AE2F29" w:rsidRPr="00AE2F29" w:rsidRDefault="00AE2F29" w:rsidP="00AE2F2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AE2F29">
              <w:rPr>
                <w:rFonts w:ascii="Arial" w:hAnsi="Arial" w:cs="Arial"/>
                <w:sz w:val="18"/>
              </w:rPr>
              <w:t>European Centre for Disease Prevention and Control.Guidance for wearing and removing personal protective equipment in healthcare settings for the care ofpatients with suspected or confirmed COVID-19. Stockholm: ECDC; 2020</w:t>
            </w:r>
          </w:p>
          <w:p w:rsidR="00AE2F29" w:rsidRPr="00AE2F29" w:rsidRDefault="008A58DC" w:rsidP="00AE2F29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hyperlink r:id="rId15" w:history="1">
              <w:r w:rsidR="009A7B16">
                <w:rPr>
                  <w:rStyle w:val="Hyperlink"/>
                </w:rPr>
                <w:t>https://www.cdc.gov/HAI/pdfs/ppe/ppeposter148.pdf</w:t>
              </w:r>
            </w:hyperlink>
          </w:p>
        </w:tc>
      </w:tr>
    </w:tbl>
    <w:p w:rsidR="009F0ED3" w:rsidRDefault="009F0ED3">
      <w:pPr>
        <w:rPr>
          <w:rFonts w:ascii="Arial" w:hAnsi="Arial" w:cs="Arial"/>
        </w:rPr>
      </w:pPr>
    </w:p>
    <w:p w:rsidR="009F0ED3" w:rsidRDefault="009F0E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1A6C" w:rsidRPr="009F0ED3" w:rsidRDefault="00BF1A6C">
      <w:pPr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54"/>
        <w:gridCol w:w="4408"/>
      </w:tblGrid>
      <w:tr w:rsidR="00BF1A6C" w:rsidRPr="00303945" w:rsidTr="00CB0C49">
        <w:tc>
          <w:tcPr>
            <w:tcW w:w="5000" w:type="pct"/>
            <w:gridSpan w:val="2"/>
            <w:shd w:val="clear" w:color="auto" w:fill="2E74B5" w:themeFill="accent1" w:themeFillShade="BF"/>
          </w:tcPr>
          <w:p w:rsidR="00BF1A6C" w:rsidRPr="00303945" w:rsidRDefault="00BF1A6C" w:rsidP="00CB0C49">
            <w:pPr>
              <w:spacing w:before="120" w:after="120"/>
              <w:ind w:left="57"/>
              <w:rPr>
                <w:rFonts w:ascii="Arial" w:hAnsi="Arial" w:cs="Arial"/>
                <w:b/>
                <w:color w:val="D9D9D9" w:themeColor="background1" w:themeShade="D9"/>
                <w:sz w:val="28"/>
                <w:szCs w:val="24"/>
              </w:rPr>
            </w:pPr>
            <w:r w:rsidRPr="00CB0C49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>KAIP SAUGIAI NUSIIMTI ASMENINES APSAUGOS PRIEMONES (AAP)</w:t>
            </w:r>
            <w:r w:rsidR="00CB0C49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 </w:t>
            </w:r>
            <w:r w:rsidR="009A7B16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      </w:t>
            </w:r>
            <w:r w:rsidR="000B7328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                     </w:t>
            </w:r>
            <w:r w:rsidR="009A7B16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   </w:t>
            </w:r>
            <w:r w:rsidR="00DF7C3F" w:rsidRPr="00CB0C49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1 PAVYZDYS </w:t>
            </w:r>
          </w:p>
        </w:tc>
      </w:tr>
      <w:tr w:rsidR="00BF1A6C" w:rsidRPr="009F0ED3" w:rsidTr="00CB0C4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F1A6C" w:rsidRPr="00303945" w:rsidRDefault="00BF1A6C" w:rsidP="00CB0C49">
            <w:pPr>
              <w:spacing w:before="120" w:after="12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C49">
              <w:rPr>
                <w:rFonts w:ascii="Arial" w:hAnsi="Arial" w:cs="Arial"/>
                <w:sz w:val="18"/>
                <w:szCs w:val="24"/>
              </w:rPr>
              <w:t xml:space="preserve">Svarbu saugiai nusiimti AAP neužteršiant </w:t>
            </w:r>
            <w:r w:rsidR="003F1625" w:rsidRPr="00CB0C49">
              <w:rPr>
                <w:rFonts w:ascii="Arial" w:hAnsi="Arial" w:cs="Arial"/>
                <w:sz w:val="18"/>
                <w:szCs w:val="24"/>
              </w:rPr>
              <w:t xml:space="preserve">kitų </w:t>
            </w:r>
            <w:r w:rsidRPr="00CB0C49">
              <w:rPr>
                <w:rFonts w:ascii="Arial" w:hAnsi="Arial" w:cs="Arial"/>
                <w:sz w:val="18"/>
                <w:szCs w:val="24"/>
              </w:rPr>
              <w:t>drabužių, odos ar gleivinės potencialiai užkrečiamomis medžiagomis. Štai vienas pavyzdys. Prieš išeidami iš paciento gydymo patalpos, pašalinkite visas AAP, išskyrus respiratorių, jei</w:t>
            </w:r>
            <w:r w:rsidR="003F1625" w:rsidRPr="00CB0C49">
              <w:rPr>
                <w:rFonts w:ascii="Arial" w:hAnsi="Arial" w:cs="Arial"/>
                <w:sz w:val="18"/>
                <w:szCs w:val="24"/>
              </w:rPr>
              <w:t xml:space="preserve"> jį</w:t>
            </w:r>
            <w:r w:rsidRPr="00CB0C49">
              <w:rPr>
                <w:rFonts w:ascii="Arial" w:hAnsi="Arial" w:cs="Arial"/>
                <w:sz w:val="18"/>
                <w:szCs w:val="24"/>
              </w:rPr>
              <w:t xml:space="preserve"> dėvite. Išėję iš gydymo patalpos ir uždarę duris, nusiimkite respiratorių. Nusiimkite AAP tokia seka:</w:t>
            </w:r>
          </w:p>
        </w:tc>
      </w:tr>
      <w:tr w:rsidR="00CB0C49" w:rsidRPr="009F0ED3" w:rsidTr="009A7B16">
        <w:trPr>
          <w:trHeight w:val="2716"/>
        </w:trPr>
        <w:tc>
          <w:tcPr>
            <w:tcW w:w="2952" w:type="pct"/>
            <w:tcBorders>
              <w:right w:val="nil"/>
            </w:tcBorders>
          </w:tcPr>
          <w:p w:rsidR="00CB0C49" w:rsidRPr="00303945" w:rsidRDefault="00CB0C49" w:rsidP="009A7B16">
            <w:pPr>
              <w:spacing w:before="120"/>
              <w:ind w:left="57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CB0C49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1. PIRŠTINĖS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Pirštinių išorinis paviršius yra užterštas!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Jeigu Jūsų rankos užsiteršia nusimaunant pirštines, nedelsdami nusiplaukite rankas arba dezinfekuokite.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Ranka, kuri yra su pirštine, suimkite kitos pirštinės delno sritį ir ją nusimaukite.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Laikykite nuimtą pirštinę rankoje, kuri vis dar apmauta 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Užkiškite pirštą po likusios pirštinės riešu ir numaukite antrąją pirštinę, kad pirmoji liktų viduje. </w:t>
            </w:r>
          </w:p>
          <w:p w:rsidR="00CB0C49" w:rsidRPr="00303945" w:rsidRDefault="00CB0C49" w:rsidP="00CB0C49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Išmeskite pirštines į infekuotų atliekų konteinerį.</w:t>
            </w:r>
          </w:p>
        </w:tc>
        <w:tc>
          <w:tcPr>
            <w:tcW w:w="2048" w:type="pct"/>
            <w:tcBorders>
              <w:left w:val="nil"/>
            </w:tcBorders>
            <w:vAlign w:val="center"/>
          </w:tcPr>
          <w:p w:rsidR="00CB0C49" w:rsidRPr="009F0ED3" w:rsidRDefault="009A7B16" w:rsidP="009A7B16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4741" w:dyaOrig="3150">
                <v:shape id="_x0000_i1029" type="#_x0000_t75" style="width:178.5pt;height:117.75pt" o:ole="">
                  <v:imagedata r:id="rId16" o:title=""/>
                </v:shape>
                <o:OLEObject Type="Embed" ProgID="PBrush" ShapeID="_x0000_i1029" DrawAspect="Content" ObjectID="_1646721261" r:id="rId17"/>
              </w:object>
            </w:r>
          </w:p>
        </w:tc>
      </w:tr>
      <w:tr w:rsidR="001F30BB" w:rsidRPr="009F0ED3" w:rsidTr="009A7B16">
        <w:tc>
          <w:tcPr>
            <w:tcW w:w="2952" w:type="pct"/>
            <w:tcBorders>
              <w:bottom w:val="nil"/>
              <w:right w:val="nil"/>
            </w:tcBorders>
          </w:tcPr>
          <w:p w:rsidR="001F30BB" w:rsidRPr="00303945" w:rsidRDefault="001F30BB" w:rsidP="009A7B16">
            <w:pPr>
              <w:spacing w:before="120"/>
              <w:ind w:left="57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CB0C49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 xml:space="preserve">2. AKINIAI ARBA VEIDO </w:t>
            </w:r>
            <w:r w:rsidR="003F1625" w:rsidRPr="00CB0C49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SKYDAS</w:t>
            </w:r>
          </w:p>
        </w:tc>
        <w:tc>
          <w:tcPr>
            <w:tcW w:w="2048" w:type="pct"/>
            <w:vMerge w:val="restart"/>
            <w:tcBorders>
              <w:left w:val="nil"/>
            </w:tcBorders>
            <w:vAlign w:val="center"/>
          </w:tcPr>
          <w:p w:rsidR="001F30BB" w:rsidRPr="009F0ED3" w:rsidRDefault="00303945" w:rsidP="009A7B16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4410" w:dyaOrig="1455">
                <v:shape id="_x0000_i1030" type="#_x0000_t75" style="width:197.25pt;height:65.25pt" o:ole="">
                  <v:imagedata r:id="rId18" o:title=""/>
                </v:shape>
                <o:OLEObject Type="Embed" ProgID="PBrush" ShapeID="_x0000_i1030" DrawAspect="Content" ObjectID="_1646721262" r:id="rId19"/>
              </w:object>
            </w:r>
          </w:p>
        </w:tc>
      </w:tr>
      <w:tr w:rsidR="001F30BB" w:rsidRPr="009F0ED3" w:rsidTr="009A7B16">
        <w:tc>
          <w:tcPr>
            <w:tcW w:w="2952" w:type="pct"/>
            <w:tcBorders>
              <w:top w:val="nil"/>
              <w:bottom w:val="single" w:sz="4" w:space="0" w:color="auto"/>
              <w:right w:val="nil"/>
            </w:tcBorders>
          </w:tcPr>
          <w:p w:rsidR="001F30BB" w:rsidRPr="00CB0C49" w:rsidRDefault="001F30BB" w:rsidP="00CB0C49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Išorinė akinių ar veido skydo pusė yra užteršta!</w:t>
            </w:r>
          </w:p>
          <w:p w:rsidR="005072CE" w:rsidRPr="00CB0C49" w:rsidRDefault="001F30BB" w:rsidP="00CB0C49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Jei nus</w:t>
            </w:r>
            <w:r w:rsidR="00055298"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iimdami akinius ar veido skyd</w:t>
            </w:r>
            <w:r w:rsidR="003F1625"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ą</w:t>
            </w: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 užteršiate rankas, nedelsdami nusiplaukite </w:t>
            </w:r>
            <w:r w:rsidR="00055298"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jas </w:t>
            </w: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arba </w:t>
            </w:r>
            <w:r w:rsidR="00F76788"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dezinfekuokite.</w:t>
            </w:r>
          </w:p>
          <w:p w:rsidR="005072CE" w:rsidRPr="00CB0C49" w:rsidRDefault="005072CE" w:rsidP="00CB0C49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Apsauginiai akiniai ar veido skydai nuimami neliečiant priekinių paviršių, pakeliant nugaroje esančią galvos juostą.</w:t>
            </w:r>
          </w:p>
          <w:p w:rsidR="001F30BB" w:rsidRPr="00303945" w:rsidRDefault="001F30BB" w:rsidP="00CB0C49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Jei priemonė yra daugkartinio naudojimo, įdėkite į tam skirtą indą</w:t>
            </w:r>
            <w:r w:rsidR="00303945"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 </w:t>
            </w: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dezinfekavimui. Jei vienkartinė – išmeskite į </w:t>
            </w:r>
            <w:r w:rsidR="003F1625"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infekuotų </w:t>
            </w: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atliekų konteinerį.</w:t>
            </w:r>
          </w:p>
        </w:tc>
        <w:tc>
          <w:tcPr>
            <w:tcW w:w="20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30BB" w:rsidRPr="009F0ED3" w:rsidRDefault="001F30BB" w:rsidP="009A7B16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945" w:rsidRPr="009F0ED3" w:rsidTr="009A7B16">
        <w:tc>
          <w:tcPr>
            <w:tcW w:w="2952" w:type="pct"/>
            <w:tcBorders>
              <w:bottom w:val="nil"/>
              <w:right w:val="nil"/>
            </w:tcBorders>
          </w:tcPr>
          <w:p w:rsidR="00303945" w:rsidRPr="00303945" w:rsidRDefault="00303945" w:rsidP="009A7B16">
            <w:pPr>
              <w:spacing w:before="120"/>
              <w:ind w:left="57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CB0C49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3. CHIRURGINIS CHALATAS</w:t>
            </w:r>
          </w:p>
        </w:tc>
        <w:tc>
          <w:tcPr>
            <w:tcW w:w="2048" w:type="pct"/>
            <w:vMerge w:val="restart"/>
            <w:tcBorders>
              <w:left w:val="nil"/>
            </w:tcBorders>
            <w:vAlign w:val="center"/>
          </w:tcPr>
          <w:p w:rsidR="00303945" w:rsidRPr="009F0ED3" w:rsidRDefault="00303945" w:rsidP="009A7B16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4020" w:dyaOrig="2070">
                <v:shape id="_x0000_i1031" type="#_x0000_t75" style="width:201pt;height:103.5pt" o:ole="">
                  <v:imagedata r:id="rId20" o:title=""/>
                </v:shape>
                <o:OLEObject Type="Embed" ProgID="PBrush" ShapeID="_x0000_i1031" DrawAspect="Content" ObjectID="_1646721263" r:id="rId21"/>
              </w:object>
            </w:r>
          </w:p>
        </w:tc>
      </w:tr>
      <w:tr w:rsidR="00303945" w:rsidRPr="009F0ED3" w:rsidTr="009A7B16">
        <w:tc>
          <w:tcPr>
            <w:tcW w:w="2952" w:type="pct"/>
            <w:tcBorders>
              <w:top w:val="nil"/>
              <w:bottom w:val="single" w:sz="4" w:space="0" w:color="auto"/>
              <w:right w:val="nil"/>
            </w:tcBorders>
          </w:tcPr>
          <w:p w:rsidR="00303945" w:rsidRPr="00CB0C49" w:rsidRDefault="00303945" w:rsidP="00CB0C49">
            <w:pPr>
              <w:pStyle w:val="ListParagraph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Chirurginio chalato priekis ir rankovės užteršti!</w:t>
            </w:r>
          </w:p>
          <w:p w:rsidR="00303945" w:rsidRPr="00CB0C49" w:rsidRDefault="00303945" w:rsidP="00CB0C49">
            <w:pPr>
              <w:pStyle w:val="ListParagraph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Jei jūsų rankos užteršiamos nusivelkant chalatus, nedelsdami nusiplaukite </w:t>
            </w:r>
            <w:r w:rsidR="00CB0C49"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jas</w:t>
            </w: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 arba dezinfekuokite. </w:t>
            </w:r>
          </w:p>
          <w:p w:rsidR="00303945" w:rsidRPr="00CB0C49" w:rsidRDefault="00303945" w:rsidP="00CB0C49">
            <w:pPr>
              <w:pStyle w:val="ListParagraph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Atriškite chalato raištelius, pasirūpindami, kad rankovės neliestų chalato paviršiaus.</w:t>
            </w:r>
          </w:p>
          <w:p w:rsidR="00303945" w:rsidRPr="00CB0C49" w:rsidRDefault="00303945" w:rsidP="00CB0C49">
            <w:pPr>
              <w:pStyle w:val="ListParagraph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Chalatą nuimkite nuo kaklo ir pečių, liesdami tik chalato vidų.</w:t>
            </w:r>
          </w:p>
          <w:p w:rsidR="00303945" w:rsidRPr="00CB0C49" w:rsidRDefault="00303945" w:rsidP="00CB0C49">
            <w:pPr>
              <w:pStyle w:val="ListParagraph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Nusirenkite chalatą, kad vidinė pusė liktų išorėje.</w:t>
            </w:r>
          </w:p>
          <w:p w:rsidR="00303945" w:rsidRPr="00303945" w:rsidRDefault="00303945" w:rsidP="00CB0C49">
            <w:pPr>
              <w:pStyle w:val="ListParagraph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Sulankstykite arba susukite į ryšulį ir išmeskite į infekuotų atliekų konteinerį. </w:t>
            </w:r>
          </w:p>
        </w:tc>
        <w:tc>
          <w:tcPr>
            <w:tcW w:w="20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03945" w:rsidRPr="009F0ED3" w:rsidRDefault="00303945" w:rsidP="009A7B16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C49" w:rsidRPr="009F0ED3" w:rsidTr="009A7B16">
        <w:tc>
          <w:tcPr>
            <w:tcW w:w="2952" w:type="pct"/>
            <w:tcBorders>
              <w:bottom w:val="nil"/>
              <w:right w:val="nil"/>
            </w:tcBorders>
          </w:tcPr>
          <w:p w:rsidR="00CB0C49" w:rsidRPr="00303945" w:rsidRDefault="00CB0C49" w:rsidP="009A7B16">
            <w:pPr>
              <w:spacing w:before="120"/>
              <w:ind w:left="57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CB0C49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4. VEIDO KAUKĖ AR RESPIRATORIUS</w:t>
            </w:r>
          </w:p>
        </w:tc>
        <w:tc>
          <w:tcPr>
            <w:tcW w:w="2048" w:type="pct"/>
            <w:vMerge w:val="restart"/>
            <w:tcBorders>
              <w:left w:val="nil"/>
            </w:tcBorders>
            <w:vAlign w:val="center"/>
          </w:tcPr>
          <w:p w:rsidR="00CB0C49" w:rsidRPr="009F0ED3" w:rsidRDefault="00CB0C49" w:rsidP="009A7B16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4245" w:dyaOrig="1620">
                <v:shape id="_x0000_i1032" type="#_x0000_t75" style="width:197.25pt;height:75.75pt" o:ole="">
                  <v:imagedata r:id="rId22" o:title=""/>
                </v:shape>
                <o:OLEObject Type="Embed" ProgID="PBrush" ShapeID="_x0000_i1032" DrawAspect="Content" ObjectID="_1646721264" r:id="rId23"/>
              </w:object>
            </w:r>
          </w:p>
        </w:tc>
      </w:tr>
      <w:tr w:rsidR="00CB0C49" w:rsidRPr="009F0ED3" w:rsidTr="009A7B16">
        <w:tc>
          <w:tcPr>
            <w:tcW w:w="2952" w:type="pct"/>
            <w:tcBorders>
              <w:top w:val="nil"/>
              <w:bottom w:val="single" w:sz="4" w:space="0" w:color="auto"/>
              <w:right w:val="nil"/>
            </w:tcBorders>
          </w:tcPr>
          <w:p w:rsidR="00CB0C49" w:rsidRPr="00CB0C49" w:rsidRDefault="00CB0C49" w:rsidP="00CB0C49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b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Apsauginių veido kaukių ar respiratorių išorinis paviršius yra užterštas, NELIESKITE JO RANKOMIS!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 xml:space="preserve">Jei jūsų rankos užteršiamos nusiimant veido kaukę/respiratorių, nedelsdami nusiplaukite rankas arba dezinfekuokite. 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Nuimant apsaugines veido kaukes ir respiratorius pirmiausiai suimami apačioje esantys raišteliai, o po to viršuje. Pašalinama neliečiant priekinės dalies.</w:t>
            </w:r>
          </w:p>
          <w:p w:rsidR="00CB0C49" w:rsidRPr="00CB0C49" w:rsidRDefault="00CB0C49" w:rsidP="00CB0C49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CB0C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Išmeskite į infekuotų atliekų konteinerį.</w:t>
            </w:r>
          </w:p>
        </w:tc>
        <w:tc>
          <w:tcPr>
            <w:tcW w:w="20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B0C49" w:rsidRPr="009F0ED3" w:rsidRDefault="00CB0C49" w:rsidP="009A7B16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EB2" w:rsidRPr="009F0ED3" w:rsidTr="009A7B16">
        <w:tc>
          <w:tcPr>
            <w:tcW w:w="2952" w:type="pct"/>
            <w:tcBorders>
              <w:right w:val="nil"/>
            </w:tcBorders>
          </w:tcPr>
          <w:p w:rsidR="00DF7C3F" w:rsidRPr="00303945" w:rsidRDefault="00DF7C3F" w:rsidP="00CB0C49">
            <w:pPr>
              <w:spacing w:before="120" w:after="120"/>
              <w:ind w:left="57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CB0C49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 xml:space="preserve">5. IŠMETĘ UŽTERŠTAS AAP, TUOJAU PAT NUSIPLAUKITE RANKAS, NUSAUSINKITE IR DEZINFEKUOKITE </w:t>
            </w:r>
          </w:p>
        </w:tc>
        <w:tc>
          <w:tcPr>
            <w:tcW w:w="2048" w:type="pct"/>
            <w:tcBorders>
              <w:left w:val="nil"/>
            </w:tcBorders>
            <w:vAlign w:val="center"/>
          </w:tcPr>
          <w:p w:rsidR="00D26EB2" w:rsidRPr="009F0ED3" w:rsidRDefault="00CB0C49" w:rsidP="009A7B16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9F0ED3">
              <w:rPr>
                <w:rFonts w:ascii="Arial" w:hAnsi="Arial" w:cs="Arial"/>
              </w:rPr>
              <w:object w:dxaOrig="4500" w:dyaOrig="2100">
                <v:shape id="_x0000_i1033" type="#_x0000_t75" style="width:168pt;height:78pt" o:ole="">
                  <v:imagedata r:id="rId24" o:title=""/>
                </v:shape>
                <o:OLEObject Type="Embed" ProgID="PBrush" ShapeID="_x0000_i1033" DrawAspect="Content" ObjectID="_1646721265" r:id="rId25"/>
              </w:object>
            </w:r>
          </w:p>
        </w:tc>
      </w:tr>
      <w:tr w:rsidR="00DF7C3F" w:rsidRPr="009F0ED3" w:rsidTr="00CB0C49">
        <w:tc>
          <w:tcPr>
            <w:tcW w:w="5000" w:type="pct"/>
            <w:gridSpan w:val="2"/>
            <w:shd w:val="clear" w:color="auto" w:fill="2E74B5" w:themeFill="accent1" w:themeFillShade="BF"/>
          </w:tcPr>
          <w:p w:rsidR="00DF7C3F" w:rsidRPr="00CB0C49" w:rsidRDefault="00DF7C3F" w:rsidP="00CB0C49">
            <w:pPr>
              <w:spacing w:before="120" w:after="120"/>
              <w:ind w:left="57"/>
              <w:rPr>
                <w:rFonts w:ascii="Arial" w:hAnsi="Arial" w:cs="Arial"/>
                <w:b/>
                <w:color w:val="D9D9D9" w:themeColor="background1" w:themeShade="D9"/>
                <w:szCs w:val="24"/>
              </w:rPr>
            </w:pPr>
            <w:r w:rsidRPr="00CB0C49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>JEI RANKOS UŽSITERŠĖ NUSIIMANT AAP, VADOVAUKITĖS RANKŲ HIGIENOS INSTRUKCIJ</w:t>
            </w:r>
            <w:r w:rsidR="005072CE" w:rsidRPr="00CB0C49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>A</w:t>
            </w:r>
          </w:p>
        </w:tc>
      </w:tr>
      <w:tr w:rsidR="00303945" w:rsidRPr="00CB0C49" w:rsidTr="00CB0C49">
        <w:tc>
          <w:tcPr>
            <w:tcW w:w="5000" w:type="pct"/>
            <w:gridSpan w:val="2"/>
          </w:tcPr>
          <w:p w:rsidR="00303945" w:rsidRPr="00CB0C49" w:rsidRDefault="00303945" w:rsidP="00303945">
            <w:pPr>
              <w:pStyle w:val="ListParagraph"/>
              <w:spacing w:before="120" w:after="120"/>
              <w:ind w:left="57"/>
              <w:contextualSpacing w:val="0"/>
              <w:rPr>
                <w:rFonts w:ascii="Arial" w:hAnsi="Arial" w:cs="Arial"/>
                <w:color w:val="000000" w:themeColor="text1"/>
                <w:sz w:val="16"/>
                <w:szCs w:val="24"/>
              </w:rPr>
            </w:pPr>
            <w:r w:rsidRPr="00CB0C49">
              <w:rPr>
                <w:rFonts w:ascii="Arial" w:hAnsi="Arial" w:cs="Arial"/>
                <w:color w:val="000000" w:themeColor="text1"/>
                <w:sz w:val="16"/>
                <w:szCs w:val="24"/>
              </w:rPr>
              <w:t>Rekomendacijos parengtos vadovaujantis:</w:t>
            </w:r>
          </w:p>
          <w:p w:rsidR="00CB0C49" w:rsidRPr="00CB0C49" w:rsidRDefault="00303945" w:rsidP="00CB0C49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16"/>
                <w:szCs w:val="24"/>
              </w:rPr>
            </w:pPr>
            <w:r w:rsidRPr="00CB0C49">
              <w:rPr>
                <w:rFonts w:ascii="Arial" w:hAnsi="Arial" w:cs="Arial"/>
                <w:sz w:val="16"/>
              </w:rPr>
              <w:t>European Centre for Disease Prevention and Control.Guidance for wearing and removing personal protective equipment in healthcare settings for the care ofpatients with suspected or confirmed COVID-19. Stockholm: ECDC; 2020</w:t>
            </w:r>
          </w:p>
          <w:p w:rsidR="00303945" w:rsidRPr="00CB0C49" w:rsidRDefault="008A58DC" w:rsidP="00CB0C49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16"/>
                <w:szCs w:val="24"/>
              </w:rPr>
            </w:pPr>
            <w:hyperlink r:id="rId26" w:history="1">
              <w:r w:rsidR="009A7B16" w:rsidRPr="009A7B16">
                <w:rPr>
                  <w:rStyle w:val="Hyperlink"/>
                  <w:sz w:val="18"/>
                </w:rPr>
                <w:t>https://www.cdc.gov/HAI/pdfs/ppe/ppeposter148.pdf</w:t>
              </w:r>
            </w:hyperlink>
          </w:p>
        </w:tc>
      </w:tr>
    </w:tbl>
    <w:p w:rsidR="00DF7C3F" w:rsidRPr="009F0ED3" w:rsidRDefault="00DF7C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6"/>
        <w:gridCol w:w="4796"/>
      </w:tblGrid>
      <w:tr w:rsidR="00DF7C3F" w:rsidRPr="009F0ED3" w:rsidTr="009A7B16">
        <w:tc>
          <w:tcPr>
            <w:tcW w:w="5000" w:type="pct"/>
            <w:gridSpan w:val="2"/>
            <w:shd w:val="clear" w:color="auto" w:fill="2E74B5" w:themeFill="accent1" w:themeFillShade="BF"/>
          </w:tcPr>
          <w:p w:rsidR="00DF7C3F" w:rsidRPr="009A7B16" w:rsidRDefault="00DF7C3F" w:rsidP="009A7B16">
            <w:pPr>
              <w:spacing w:before="120" w:after="120"/>
              <w:rPr>
                <w:rFonts w:ascii="Arial" w:hAnsi="Arial" w:cs="Arial"/>
                <w:b/>
                <w:color w:val="D9D9D9" w:themeColor="background1" w:themeShade="D9"/>
                <w:szCs w:val="24"/>
              </w:rPr>
            </w:pPr>
            <w:r w:rsidRPr="009A7B16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KAIP SAUGIAI NUSIIMTI ASMENINES APSAUGOS PRIEMONES (AAP) </w:t>
            </w:r>
            <w:r w:rsidR="00CB0C49" w:rsidRPr="009A7B16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    </w:t>
            </w:r>
            <w:r w:rsidR="000B7328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                          </w:t>
            </w:r>
            <w:r w:rsidR="00CB0C49" w:rsidRPr="009A7B16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 xml:space="preserve">  </w:t>
            </w:r>
            <w:r w:rsidRPr="009A7B16">
              <w:rPr>
                <w:rFonts w:ascii="Arial" w:hAnsi="Arial" w:cs="Arial"/>
                <w:b/>
                <w:color w:val="D9D9D9" w:themeColor="background1" w:themeShade="D9"/>
                <w:szCs w:val="24"/>
              </w:rPr>
              <w:t>2 PAVYZDYS</w:t>
            </w:r>
          </w:p>
        </w:tc>
      </w:tr>
      <w:tr w:rsidR="00DF7C3F" w:rsidRPr="009F0ED3" w:rsidTr="009A7B1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F7C3F" w:rsidRPr="009A7B16" w:rsidRDefault="00DF7C3F" w:rsidP="009A7B16">
            <w:pPr>
              <w:spacing w:before="120" w:after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A7B16">
              <w:rPr>
                <w:rFonts w:ascii="Arial" w:hAnsi="Arial" w:cs="Arial"/>
                <w:sz w:val="18"/>
                <w:szCs w:val="24"/>
              </w:rPr>
              <w:t>Čia pateikiamas dar vienas būdas, kaip saugiai pašalinti asmenines apsaugines priemones, neužteršiant dėvimų drabužių, odos ar gleivinės, potencialiai infekuotomis medžiagomis. Prieš išei</w:t>
            </w:r>
            <w:r w:rsidR="005072CE" w:rsidRPr="009A7B16">
              <w:rPr>
                <w:rFonts w:ascii="Arial" w:hAnsi="Arial" w:cs="Arial"/>
                <w:sz w:val="18"/>
                <w:szCs w:val="24"/>
              </w:rPr>
              <w:t xml:space="preserve">dami </w:t>
            </w:r>
            <w:r w:rsidRPr="009A7B16">
              <w:rPr>
                <w:rFonts w:ascii="Arial" w:hAnsi="Arial" w:cs="Arial"/>
                <w:sz w:val="18"/>
                <w:szCs w:val="24"/>
              </w:rPr>
              <w:t>iš paciento gydymo patalpos</w:t>
            </w:r>
            <w:r w:rsidR="005072CE" w:rsidRPr="009A7B16">
              <w:rPr>
                <w:rFonts w:ascii="Arial" w:hAnsi="Arial" w:cs="Arial"/>
                <w:sz w:val="18"/>
                <w:szCs w:val="24"/>
              </w:rPr>
              <w:t>,</w:t>
            </w:r>
            <w:r w:rsidRPr="009A7B16">
              <w:rPr>
                <w:rFonts w:ascii="Arial" w:hAnsi="Arial" w:cs="Arial"/>
                <w:sz w:val="18"/>
                <w:szCs w:val="24"/>
              </w:rPr>
              <w:t xml:space="preserve"> pašalinkite visas asmenines apsaugos priemones</w:t>
            </w:r>
            <w:r w:rsidR="000368AF">
              <w:rPr>
                <w:rFonts w:ascii="Arial" w:hAnsi="Arial" w:cs="Arial"/>
                <w:sz w:val="18"/>
                <w:szCs w:val="24"/>
              </w:rPr>
              <w:t>,</w:t>
            </w:r>
            <w:r w:rsidRPr="009A7B16">
              <w:rPr>
                <w:rFonts w:ascii="Arial" w:hAnsi="Arial" w:cs="Arial"/>
                <w:sz w:val="18"/>
                <w:szCs w:val="24"/>
              </w:rPr>
              <w:t xml:space="preserve"> išskyrus respiratorių. Respiratorius nusiimamas tik išėjus ir uždarius gydymo patalpos duris. Panaudotų AAP nusiėmimo seka:</w:t>
            </w:r>
          </w:p>
        </w:tc>
      </w:tr>
      <w:tr w:rsidR="009A7B16" w:rsidRPr="009F0ED3" w:rsidTr="009A7B16">
        <w:tc>
          <w:tcPr>
            <w:tcW w:w="2820" w:type="pct"/>
            <w:tcBorders>
              <w:bottom w:val="nil"/>
              <w:right w:val="nil"/>
            </w:tcBorders>
          </w:tcPr>
          <w:p w:rsidR="009A7B16" w:rsidRPr="009A7B16" w:rsidRDefault="009A7B16" w:rsidP="009A7B16">
            <w:pPr>
              <w:spacing w:before="12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A7B1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1. CHIRURGINIS CHALATAS IR VIENKARTINĖS PIRŠTINĖS</w:t>
            </w:r>
          </w:p>
        </w:tc>
        <w:tc>
          <w:tcPr>
            <w:tcW w:w="2180" w:type="pct"/>
            <w:vMerge w:val="restart"/>
            <w:tcBorders>
              <w:left w:val="nil"/>
            </w:tcBorders>
            <w:vAlign w:val="center"/>
          </w:tcPr>
          <w:p w:rsidR="009A7B16" w:rsidRPr="009F0ED3" w:rsidRDefault="009A7B16" w:rsidP="009A7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4575" w:dyaOrig="3915">
                <v:shape id="_x0000_i1034" type="#_x0000_t75" style="width:228.75pt;height:195.75pt" o:ole="">
                  <v:imagedata r:id="rId27" o:title=""/>
                </v:shape>
                <o:OLEObject Type="Embed" ProgID="PBrush" ShapeID="_x0000_i1034" DrawAspect="Content" ObjectID="_1646721266" r:id="rId28"/>
              </w:object>
            </w:r>
          </w:p>
        </w:tc>
      </w:tr>
      <w:tr w:rsidR="009A7B16" w:rsidRPr="009F0ED3" w:rsidTr="009A7B16">
        <w:tc>
          <w:tcPr>
            <w:tcW w:w="2820" w:type="pct"/>
            <w:tcBorders>
              <w:top w:val="nil"/>
              <w:bottom w:val="single" w:sz="4" w:space="0" w:color="auto"/>
              <w:right w:val="nil"/>
            </w:tcBorders>
          </w:tcPr>
          <w:p w:rsidR="009A7B16" w:rsidRPr="009A7B16" w:rsidRDefault="009A7B16" w:rsidP="009A7B16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Išorinė chirurginio chalato ir vienkartinių pirštinių pusė yra užteršta!</w:t>
            </w:r>
          </w:p>
          <w:p w:rsidR="009A7B16" w:rsidRPr="009A7B16" w:rsidRDefault="009A7B16" w:rsidP="009A7B16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Jei nusirengiant chirurginį chalatą ar nusiimant vienkartines pirštines buvo prisiliesta prie išorinio paviršiaus rankomis, rankos nedelsiant turi būti plaunamos arba dezinfekuojamos.</w:t>
            </w:r>
          </w:p>
          <w:p w:rsidR="009A7B16" w:rsidRPr="009A7B16" w:rsidRDefault="009A7B16" w:rsidP="009A7B16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Nenusimovę pirštinių, priekyje suimkite chirurginį chalatą ir truktelkite jį nuo savęs taip, kad raišteliai atsilaisvintų arba nuplyštų.</w:t>
            </w:r>
          </w:p>
          <w:p w:rsidR="009A7B16" w:rsidRPr="009A7B16" w:rsidRDefault="009A7B16" w:rsidP="009A7B16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Nusirenkite chirurginį chalatą ir jį sulankstykite ar susukite vidine puse į išorę.</w:t>
            </w:r>
          </w:p>
          <w:p w:rsidR="009A7B16" w:rsidRPr="009A7B16" w:rsidRDefault="009A7B16" w:rsidP="009A7B16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 xml:space="preserve">Nusirengdami chirurginį chalatą, medicinines pirštines nusiimkite tuo pačiu metu. Plikomis rankomis nelieskite išorinių chalato ir pirštinių paviršių. </w:t>
            </w:r>
          </w:p>
          <w:p w:rsidR="009A7B16" w:rsidRPr="009A7B16" w:rsidRDefault="009A7B16" w:rsidP="00CB0C4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Nuimtas priemones išmeskite į infekuotų atliekų konteinerį.</w:t>
            </w:r>
          </w:p>
        </w:tc>
        <w:tc>
          <w:tcPr>
            <w:tcW w:w="218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A7B16" w:rsidRPr="009F0ED3" w:rsidRDefault="009A7B16" w:rsidP="009A7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B16" w:rsidRPr="009F0ED3" w:rsidTr="009A7B16">
        <w:tc>
          <w:tcPr>
            <w:tcW w:w="2820" w:type="pct"/>
            <w:tcBorders>
              <w:bottom w:val="nil"/>
              <w:right w:val="nil"/>
            </w:tcBorders>
          </w:tcPr>
          <w:p w:rsidR="009A7B16" w:rsidRPr="009A7B16" w:rsidRDefault="009A7B16" w:rsidP="009A7B16">
            <w:pPr>
              <w:spacing w:before="12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A7B1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2.</w:t>
            </w:r>
            <w:r w:rsidRPr="009A7B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9A7B1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APSAUGINIAI AKINIAI ARBA VEIDO SKYDAI</w:t>
            </w:r>
          </w:p>
        </w:tc>
        <w:tc>
          <w:tcPr>
            <w:tcW w:w="2180" w:type="pct"/>
            <w:vMerge w:val="restart"/>
            <w:tcBorders>
              <w:left w:val="nil"/>
            </w:tcBorders>
            <w:vAlign w:val="center"/>
          </w:tcPr>
          <w:p w:rsidR="009A7B16" w:rsidRPr="009F0ED3" w:rsidRDefault="009A7B16" w:rsidP="009A7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ED3">
              <w:rPr>
                <w:rFonts w:ascii="Arial" w:hAnsi="Arial" w:cs="Arial"/>
              </w:rPr>
              <w:object w:dxaOrig="4335" w:dyaOrig="1710">
                <v:shape id="_x0000_i1035" type="#_x0000_t75" style="width:216.75pt;height:85.5pt" o:ole="">
                  <v:imagedata r:id="rId29" o:title=""/>
                </v:shape>
                <o:OLEObject Type="Embed" ProgID="PBrush" ShapeID="_x0000_i1035" DrawAspect="Content" ObjectID="_1646721267" r:id="rId30"/>
              </w:object>
            </w:r>
          </w:p>
        </w:tc>
      </w:tr>
      <w:tr w:rsidR="009A7B16" w:rsidRPr="009F0ED3" w:rsidTr="009A7B16">
        <w:tc>
          <w:tcPr>
            <w:tcW w:w="2820" w:type="pct"/>
            <w:tcBorders>
              <w:top w:val="nil"/>
              <w:bottom w:val="single" w:sz="4" w:space="0" w:color="auto"/>
              <w:right w:val="nil"/>
            </w:tcBorders>
          </w:tcPr>
          <w:p w:rsidR="009A7B16" w:rsidRPr="009A7B16" w:rsidRDefault="009A7B16" w:rsidP="009A7B1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Išorinė apsauginių akinių ir veido skydų pusė yra užteršta!</w:t>
            </w:r>
          </w:p>
          <w:p w:rsidR="009A7B16" w:rsidRPr="009A7B16" w:rsidRDefault="009A7B16" w:rsidP="009A7B1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Jei nuimant apsauginius akinius ar veido skydus užteršėte rankas, jos nedelsiant turi būti plaunamos arba dezinfekuojamos.</w:t>
            </w:r>
          </w:p>
          <w:p w:rsidR="009A7B16" w:rsidRPr="009A7B16" w:rsidRDefault="009A7B16" w:rsidP="009A7B1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 xml:space="preserve">Apsauginiai akiniai ar veido skydai nuimami neliečiant priekinių paviršių, pakeliant nugaroje esančią galvos juostą. </w:t>
            </w:r>
          </w:p>
          <w:p w:rsidR="009A7B16" w:rsidRPr="009A7B16" w:rsidRDefault="009A7B16" w:rsidP="00CB0C4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Jei priemonė yra daugkartinio naudojimo, įdėkite į tam skirtą indą dezinfekavimui. Jei vienkartinė – išmeskite į infekuotų atliekų konteinerį.</w:t>
            </w:r>
          </w:p>
        </w:tc>
        <w:tc>
          <w:tcPr>
            <w:tcW w:w="218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A7B16" w:rsidRPr="009F0ED3" w:rsidRDefault="009A7B16" w:rsidP="009A7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5D6" w:rsidRPr="009F0ED3" w:rsidTr="009A7B16">
        <w:tc>
          <w:tcPr>
            <w:tcW w:w="2820" w:type="pct"/>
            <w:tcBorders>
              <w:bottom w:val="nil"/>
              <w:right w:val="nil"/>
            </w:tcBorders>
          </w:tcPr>
          <w:p w:rsidR="00DF25D6" w:rsidRPr="009A7B16" w:rsidRDefault="00DF25D6" w:rsidP="009A7B16">
            <w:pPr>
              <w:spacing w:before="12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9A7B1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3. VIENKARTINĖS KAUKĖS ARBA RESPIRATORIAI</w:t>
            </w:r>
          </w:p>
        </w:tc>
        <w:tc>
          <w:tcPr>
            <w:tcW w:w="2180" w:type="pct"/>
            <w:vMerge w:val="restart"/>
            <w:tcBorders>
              <w:left w:val="nil"/>
            </w:tcBorders>
            <w:vAlign w:val="center"/>
          </w:tcPr>
          <w:p w:rsidR="00DF25D6" w:rsidRPr="009F0ED3" w:rsidRDefault="00DF25D6" w:rsidP="009A7B16">
            <w:pPr>
              <w:jc w:val="center"/>
              <w:rPr>
                <w:rFonts w:ascii="Arial" w:hAnsi="Arial" w:cs="Arial"/>
              </w:rPr>
            </w:pPr>
            <w:r w:rsidRPr="009F0ED3">
              <w:rPr>
                <w:rFonts w:ascii="Arial" w:hAnsi="Arial" w:cs="Arial"/>
              </w:rPr>
              <w:object w:dxaOrig="4425" w:dyaOrig="1620">
                <v:shape id="_x0000_i1036" type="#_x0000_t75" style="width:221.25pt;height:81pt" o:ole="">
                  <v:imagedata r:id="rId31" o:title=""/>
                </v:shape>
                <o:OLEObject Type="Embed" ProgID="PBrush" ShapeID="_x0000_i1036" DrawAspect="Content" ObjectID="_1646721268" r:id="rId32"/>
              </w:object>
            </w:r>
          </w:p>
        </w:tc>
      </w:tr>
      <w:tr w:rsidR="00DF25D6" w:rsidRPr="009F0ED3" w:rsidTr="009A7B16">
        <w:tc>
          <w:tcPr>
            <w:tcW w:w="2820" w:type="pct"/>
            <w:tcBorders>
              <w:top w:val="nil"/>
              <w:bottom w:val="single" w:sz="4" w:space="0" w:color="auto"/>
              <w:right w:val="nil"/>
            </w:tcBorders>
          </w:tcPr>
          <w:p w:rsidR="00DF25D6" w:rsidRPr="009A7B16" w:rsidRDefault="00DF25D6" w:rsidP="009A7B16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Apsauginių veido kaukių ar respiratorių išorinis paviršius yra užterštas, NELIESKITE JO RANKOMIS!</w:t>
            </w:r>
          </w:p>
          <w:p w:rsidR="00DF25D6" w:rsidRPr="009A7B16" w:rsidRDefault="00DF25D6" w:rsidP="009A7B16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 xml:space="preserve">Jei nuimant apsauginę veido kaukę ar respiratorių užteršėte rankas, jos nedelsiant turi būti plaunamos arba dezinfekuojamos. </w:t>
            </w:r>
          </w:p>
          <w:p w:rsidR="00DF25D6" w:rsidRPr="009A7B16" w:rsidRDefault="00DF25D6" w:rsidP="009A7B16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Nuimant apsaugines veido kaukes ir respiratorius pirmiausiai suimami apačioje esantys raišteliai, o po to viršuje. Pašalinama neliečiant priekinės dalies.</w:t>
            </w:r>
          </w:p>
          <w:p w:rsidR="00DF25D6" w:rsidRPr="009A7B16" w:rsidRDefault="00DF25D6" w:rsidP="00CB0C49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</w:pPr>
            <w:r w:rsidRPr="009A7B16">
              <w:rPr>
                <w:rFonts w:ascii="Arial" w:hAnsi="Arial" w:cs="Arial"/>
                <w:color w:val="2E74B5" w:themeColor="accent1" w:themeShade="BF"/>
                <w:sz w:val="20"/>
                <w:szCs w:val="24"/>
              </w:rPr>
              <w:t>Panaudotas apsaugines veido kaukes ar respiratorius išmeskite į infekuotų atliekų konteinerį.</w:t>
            </w:r>
          </w:p>
        </w:tc>
        <w:tc>
          <w:tcPr>
            <w:tcW w:w="218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F25D6" w:rsidRPr="009F0ED3" w:rsidRDefault="00DF25D6" w:rsidP="009A7B16">
            <w:pPr>
              <w:jc w:val="center"/>
              <w:rPr>
                <w:rFonts w:ascii="Arial" w:hAnsi="Arial" w:cs="Arial"/>
              </w:rPr>
            </w:pPr>
          </w:p>
        </w:tc>
      </w:tr>
      <w:tr w:rsidR="00DF25D6" w:rsidRPr="009F0ED3" w:rsidTr="009A7B16">
        <w:tc>
          <w:tcPr>
            <w:tcW w:w="2820" w:type="pct"/>
            <w:tcBorders>
              <w:right w:val="nil"/>
            </w:tcBorders>
          </w:tcPr>
          <w:p w:rsidR="00DF25D6" w:rsidRPr="009A7B16" w:rsidRDefault="00DF25D6" w:rsidP="009A7B16">
            <w:pPr>
              <w:spacing w:before="120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9A7B16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4. IŠMETĘ UŽTERŠTAS AAP, TUOJAU PAT NUSIPLAUKITE RANKAS, NUSAUSINTKITE IR DEZINFEKUOKITE </w:t>
            </w:r>
          </w:p>
          <w:p w:rsidR="00DF25D6" w:rsidRPr="009A7B16" w:rsidRDefault="00DF25D6" w:rsidP="00CB0C49">
            <w:pPr>
              <w:pStyle w:val="ListParagraph"/>
              <w:ind w:left="0"/>
              <w:contextualSpacing w:val="0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80" w:type="pct"/>
            <w:tcBorders>
              <w:left w:val="nil"/>
            </w:tcBorders>
            <w:vAlign w:val="center"/>
          </w:tcPr>
          <w:p w:rsidR="00DF25D6" w:rsidRPr="009F0ED3" w:rsidRDefault="009A7B16" w:rsidP="009A7B16">
            <w:pPr>
              <w:jc w:val="center"/>
              <w:rPr>
                <w:rFonts w:ascii="Arial" w:hAnsi="Arial" w:cs="Arial"/>
              </w:rPr>
            </w:pPr>
            <w:r w:rsidRPr="009F0ED3">
              <w:rPr>
                <w:rFonts w:ascii="Arial" w:hAnsi="Arial" w:cs="Arial"/>
              </w:rPr>
              <w:object w:dxaOrig="4290" w:dyaOrig="1740">
                <v:shape id="_x0000_i1037" type="#_x0000_t75" style="width:178.5pt;height:72.75pt" o:ole="">
                  <v:imagedata r:id="rId33" o:title=""/>
                </v:shape>
                <o:OLEObject Type="Embed" ProgID="PBrush" ShapeID="_x0000_i1037" DrawAspect="Content" ObjectID="_1646721269" r:id="rId34"/>
              </w:object>
            </w:r>
          </w:p>
        </w:tc>
      </w:tr>
      <w:tr w:rsidR="00DF25D6" w:rsidRPr="009F0ED3" w:rsidTr="009A7B16">
        <w:tc>
          <w:tcPr>
            <w:tcW w:w="5000" w:type="pct"/>
            <w:gridSpan w:val="2"/>
            <w:shd w:val="clear" w:color="auto" w:fill="2E74B5" w:themeFill="accent1" w:themeFillShade="BF"/>
          </w:tcPr>
          <w:p w:rsidR="00DF25D6" w:rsidRPr="009A7B16" w:rsidRDefault="009A7B16" w:rsidP="009A7B16">
            <w:pPr>
              <w:spacing w:before="120" w:after="120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9A7B16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RANKŲ HIGIENĄ ATLIKITE NEDELSIANT</w:t>
            </w:r>
            <w:r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,</w:t>
            </w:r>
            <w:r w:rsidRPr="009A7B16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PAŠALINUS VISAS APSAUGINES PRIEMONES ARBA TUOMET, KAI ĮVYKO SĄLYTIS SU INFEKUOTAIS PAVIRŠIAIS AAP NUSIĖMIMO METU.</w:t>
            </w:r>
          </w:p>
        </w:tc>
      </w:tr>
      <w:tr w:rsidR="00303945" w:rsidRPr="009A7B16" w:rsidTr="00D134D8">
        <w:tc>
          <w:tcPr>
            <w:tcW w:w="5000" w:type="pct"/>
            <w:gridSpan w:val="2"/>
          </w:tcPr>
          <w:p w:rsidR="00303945" w:rsidRPr="009A7B16" w:rsidRDefault="00303945" w:rsidP="009A7B1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7B16">
              <w:rPr>
                <w:rFonts w:ascii="Arial" w:hAnsi="Arial" w:cs="Arial"/>
                <w:color w:val="000000" w:themeColor="text1"/>
                <w:sz w:val="18"/>
                <w:szCs w:val="18"/>
              </w:rPr>
              <w:t>Rekomendacijos parengtos vadovaujantis:</w:t>
            </w:r>
          </w:p>
          <w:p w:rsidR="009A7B16" w:rsidRPr="009A7B16" w:rsidRDefault="00303945" w:rsidP="009A7B16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A7B16">
              <w:rPr>
                <w:rFonts w:ascii="Arial" w:hAnsi="Arial" w:cs="Arial"/>
                <w:sz w:val="18"/>
                <w:szCs w:val="18"/>
              </w:rPr>
              <w:t>European Centre for Disease Prevention and Control.Guidance for wearing and removing personal protective equipment in healthcare settings for the care ofpatients with suspected or confirmed COVID-19. Stockholm: ECDC; 2020</w:t>
            </w:r>
            <w:r w:rsidR="009A7B16" w:rsidRPr="009A7B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3945" w:rsidRPr="009A7B16" w:rsidRDefault="008A58DC" w:rsidP="009A7B16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A7B16">
                <w:rPr>
                  <w:rStyle w:val="Hyperlink"/>
                </w:rPr>
                <w:t>https://www.cdc.gov/HAI/pdfs/ppe/ppeposter148.pdf</w:t>
              </w:r>
            </w:hyperlink>
          </w:p>
        </w:tc>
      </w:tr>
    </w:tbl>
    <w:p w:rsidR="00DF25D6" w:rsidRPr="009F0ED3" w:rsidRDefault="00DF25D6" w:rsidP="00DF25D6">
      <w:pPr>
        <w:rPr>
          <w:rFonts w:ascii="Arial" w:hAnsi="Arial" w:cs="Arial"/>
          <w:sz w:val="24"/>
          <w:szCs w:val="24"/>
        </w:rPr>
      </w:pPr>
    </w:p>
    <w:sectPr w:rsidR="00DF25D6" w:rsidRPr="009F0ED3" w:rsidSect="00D134D8">
      <w:footerReference w:type="default" r:id="rId36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8DC" w:rsidRDefault="008A58DC" w:rsidP="00983897">
      <w:pPr>
        <w:spacing w:after="0" w:line="240" w:lineRule="auto"/>
      </w:pPr>
      <w:r>
        <w:separator/>
      </w:r>
    </w:p>
  </w:endnote>
  <w:endnote w:type="continuationSeparator" w:id="0">
    <w:p w:rsidR="008A58DC" w:rsidRDefault="008A58DC" w:rsidP="0098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F13" w:rsidRDefault="00457F13">
    <w:pPr>
      <w:pStyle w:val="Footer"/>
      <w:jc w:val="right"/>
    </w:pPr>
  </w:p>
  <w:p w:rsidR="00457F13" w:rsidRDefault="0045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8DC" w:rsidRDefault="008A58DC" w:rsidP="00983897">
      <w:pPr>
        <w:spacing w:after="0" w:line="240" w:lineRule="auto"/>
      </w:pPr>
      <w:r>
        <w:separator/>
      </w:r>
    </w:p>
  </w:footnote>
  <w:footnote w:type="continuationSeparator" w:id="0">
    <w:p w:rsidR="008A58DC" w:rsidRDefault="008A58DC" w:rsidP="0098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085"/>
    <w:multiLevelType w:val="hybridMultilevel"/>
    <w:tmpl w:val="E95401A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2726"/>
    <w:multiLevelType w:val="hybridMultilevel"/>
    <w:tmpl w:val="3CE2392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8381E"/>
    <w:multiLevelType w:val="hybridMultilevel"/>
    <w:tmpl w:val="FA0A1F1A"/>
    <w:lvl w:ilvl="0" w:tplc="86ACD4D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9DE"/>
    <w:multiLevelType w:val="hybridMultilevel"/>
    <w:tmpl w:val="70F8647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14756"/>
    <w:multiLevelType w:val="hybridMultilevel"/>
    <w:tmpl w:val="C5E6B7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F47"/>
    <w:multiLevelType w:val="hybridMultilevel"/>
    <w:tmpl w:val="966AC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2E9"/>
    <w:multiLevelType w:val="hybridMultilevel"/>
    <w:tmpl w:val="38AEF2E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672D1"/>
    <w:multiLevelType w:val="hybridMultilevel"/>
    <w:tmpl w:val="3D9A9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06BC"/>
    <w:multiLevelType w:val="hybridMultilevel"/>
    <w:tmpl w:val="F08CDA0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04BB8"/>
    <w:multiLevelType w:val="hybridMultilevel"/>
    <w:tmpl w:val="6882D9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1808"/>
    <w:multiLevelType w:val="hybridMultilevel"/>
    <w:tmpl w:val="3ADC51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948DA"/>
    <w:multiLevelType w:val="hybridMultilevel"/>
    <w:tmpl w:val="138890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03F9"/>
    <w:multiLevelType w:val="hybridMultilevel"/>
    <w:tmpl w:val="732E2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3812"/>
    <w:multiLevelType w:val="hybridMultilevel"/>
    <w:tmpl w:val="B5503DA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83083"/>
    <w:multiLevelType w:val="hybridMultilevel"/>
    <w:tmpl w:val="23A4B5A0"/>
    <w:lvl w:ilvl="0" w:tplc="0427000F">
      <w:start w:val="1"/>
      <w:numFmt w:val="decimal"/>
      <w:lvlText w:val="%1."/>
      <w:lvlJc w:val="left"/>
      <w:pPr>
        <w:ind w:left="777" w:hanging="360"/>
      </w:p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6692B57"/>
    <w:multiLevelType w:val="hybridMultilevel"/>
    <w:tmpl w:val="DEC817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E74A4"/>
    <w:multiLevelType w:val="hybridMultilevel"/>
    <w:tmpl w:val="843C855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D5E80B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04417"/>
    <w:multiLevelType w:val="hybridMultilevel"/>
    <w:tmpl w:val="BAC0E1E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2749A3"/>
    <w:multiLevelType w:val="hybridMultilevel"/>
    <w:tmpl w:val="6DC6B4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6FC2"/>
    <w:multiLevelType w:val="hybridMultilevel"/>
    <w:tmpl w:val="4462AF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15C93"/>
    <w:multiLevelType w:val="hybridMultilevel"/>
    <w:tmpl w:val="579C8A7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82679A"/>
    <w:multiLevelType w:val="hybridMultilevel"/>
    <w:tmpl w:val="B56A44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6BED"/>
    <w:multiLevelType w:val="hybridMultilevel"/>
    <w:tmpl w:val="C9AE9B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F7932"/>
    <w:multiLevelType w:val="hybridMultilevel"/>
    <w:tmpl w:val="3E92E432"/>
    <w:lvl w:ilvl="0" w:tplc="2716F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A13CF"/>
    <w:multiLevelType w:val="hybridMultilevel"/>
    <w:tmpl w:val="DE169FFA"/>
    <w:lvl w:ilvl="0" w:tplc="042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BCF4CF1"/>
    <w:multiLevelType w:val="hybridMultilevel"/>
    <w:tmpl w:val="732E2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A1C55"/>
    <w:multiLevelType w:val="hybridMultilevel"/>
    <w:tmpl w:val="29061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858"/>
    <w:multiLevelType w:val="hybridMultilevel"/>
    <w:tmpl w:val="FF2E20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261E"/>
    <w:multiLevelType w:val="hybridMultilevel"/>
    <w:tmpl w:val="00AC10A6"/>
    <w:lvl w:ilvl="0" w:tplc="042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9094771"/>
    <w:multiLevelType w:val="hybridMultilevel"/>
    <w:tmpl w:val="02A4C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0EFA"/>
    <w:multiLevelType w:val="hybridMultilevel"/>
    <w:tmpl w:val="79F661F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BC09EC"/>
    <w:multiLevelType w:val="hybridMultilevel"/>
    <w:tmpl w:val="A9883A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A7D1F"/>
    <w:multiLevelType w:val="hybridMultilevel"/>
    <w:tmpl w:val="732E2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50C8E"/>
    <w:multiLevelType w:val="hybridMultilevel"/>
    <w:tmpl w:val="C8B2D4D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C7C80"/>
    <w:multiLevelType w:val="hybridMultilevel"/>
    <w:tmpl w:val="37FC1B60"/>
    <w:lvl w:ilvl="0" w:tplc="042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6FA2C9C"/>
    <w:multiLevelType w:val="hybridMultilevel"/>
    <w:tmpl w:val="2794D00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3B27F5"/>
    <w:multiLevelType w:val="hybridMultilevel"/>
    <w:tmpl w:val="5718BDB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03927"/>
    <w:multiLevelType w:val="hybridMultilevel"/>
    <w:tmpl w:val="423094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55782"/>
    <w:multiLevelType w:val="hybridMultilevel"/>
    <w:tmpl w:val="647A17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9"/>
  </w:num>
  <w:num w:numId="5">
    <w:abstractNumId w:val="37"/>
  </w:num>
  <w:num w:numId="6">
    <w:abstractNumId w:val="38"/>
  </w:num>
  <w:num w:numId="7">
    <w:abstractNumId w:val="23"/>
  </w:num>
  <w:num w:numId="8">
    <w:abstractNumId w:val="5"/>
  </w:num>
  <w:num w:numId="9">
    <w:abstractNumId w:val="9"/>
  </w:num>
  <w:num w:numId="10">
    <w:abstractNumId w:val="6"/>
  </w:num>
  <w:num w:numId="11">
    <w:abstractNumId w:val="22"/>
  </w:num>
  <w:num w:numId="12">
    <w:abstractNumId w:val="7"/>
  </w:num>
  <w:num w:numId="13">
    <w:abstractNumId w:val="0"/>
  </w:num>
  <w:num w:numId="14">
    <w:abstractNumId w:val="8"/>
  </w:num>
  <w:num w:numId="15">
    <w:abstractNumId w:val="33"/>
  </w:num>
  <w:num w:numId="16">
    <w:abstractNumId w:val="16"/>
  </w:num>
  <w:num w:numId="17">
    <w:abstractNumId w:val="12"/>
  </w:num>
  <w:num w:numId="18">
    <w:abstractNumId w:val="25"/>
  </w:num>
  <w:num w:numId="19">
    <w:abstractNumId w:val="32"/>
  </w:num>
  <w:num w:numId="20">
    <w:abstractNumId w:val="36"/>
  </w:num>
  <w:num w:numId="21">
    <w:abstractNumId w:val="34"/>
  </w:num>
  <w:num w:numId="22">
    <w:abstractNumId w:val="19"/>
  </w:num>
  <w:num w:numId="23">
    <w:abstractNumId w:val="35"/>
  </w:num>
  <w:num w:numId="24">
    <w:abstractNumId w:val="28"/>
  </w:num>
  <w:num w:numId="25">
    <w:abstractNumId w:val="21"/>
  </w:num>
  <w:num w:numId="26">
    <w:abstractNumId w:val="10"/>
  </w:num>
  <w:num w:numId="27">
    <w:abstractNumId w:val="24"/>
  </w:num>
  <w:num w:numId="28">
    <w:abstractNumId w:val="4"/>
  </w:num>
  <w:num w:numId="29">
    <w:abstractNumId w:val="15"/>
  </w:num>
  <w:num w:numId="30">
    <w:abstractNumId w:val="1"/>
  </w:num>
  <w:num w:numId="31">
    <w:abstractNumId w:val="2"/>
  </w:num>
  <w:num w:numId="32">
    <w:abstractNumId w:val="27"/>
  </w:num>
  <w:num w:numId="33">
    <w:abstractNumId w:val="14"/>
  </w:num>
  <w:num w:numId="34">
    <w:abstractNumId w:val="20"/>
  </w:num>
  <w:num w:numId="35">
    <w:abstractNumId w:val="26"/>
  </w:num>
  <w:num w:numId="36">
    <w:abstractNumId w:val="31"/>
  </w:num>
  <w:num w:numId="37">
    <w:abstractNumId w:val="17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3"/>
    <w:rsid w:val="00003CC7"/>
    <w:rsid w:val="00034157"/>
    <w:rsid w:val="000368AF"/>
    <w:rsid w:val="00055298"/>
    <w:rsid w:val="000B7328"/>
    <w:rsid w:val="000E559C"/>
    <w:rsid w:val="001A4A6A"/>
    <w:rsid w:val="001A57F4"/>
    <w:rsid w:val="001C31AB"/>
    <w:rsid w:val="001E0C93"/>
    <w:rsid w:val="001F30BB"/>
    <w:rsid w:val="001F349C"/>
    <w:rsid w:val="00256E36"/>
    <w:rsid w:val="002D7C01"/>
    <w:rsid w:val="00303945"/>
    <w:rsid w:val="00303E0B"/>
    <w:rsid w:val="00304A68"/>
    <w:rsid w:val="00387B04"/>
    <w:rsid w:val="003E6E97"/>
    <w:rsid w:val="003F1625"/>
    <w:rsid w:val="00402CF3"/>
    <w:rsid w:val="00457F13"/>
    <w:rsid w:val="004A4E7D"/>
    <w:rsid w:val="004C00AF"/>
    <w:rsid w:val="005072CE"/>
    <w:rsid w:val="006829F8"/>
    <w:rsid w:val="00774CE3"/>
    <w:rsid w:val="007F0901"/>
    <w:rsid w:val="008A58DC"/>
    <w:rsid w:val="00983897"/>
    <w:rsid w:val="009A7B16"/>
    <w:rsid w:val="009F0ED3"/>
    <w:rsid w:val="00A256D8"/>
    <w:rsid w:val="00AE2F29"/>
    <w:rsid w:val="00BA3A5B"/>
    <w:rsid w:val="00BC74F9"/>
    <w:rsid w:val="00BF19E1"/>
    <w:rsid w:val="00BF1A6C"/>
    <w:rsid w:val="00CA371F"/>
    <w:rsid w:val="00CB0C49"/>
    <w:rsid w:val="00CD1213"/>
    <w:rsid w:val="00CE7083"/>
    <w:rsid w:val="00D134D8"/>
    <w:rsid w:val="00D26EB2"/>
    <w:rsid w:val="00DB4EA2"/>
    <w:rsid w:val="00DF25D6"/>
    <w:rsid w:val="00DF7C3F"/>
    <w:rsid w:val="00E365C8"/>
    <w:rsid w:val="00E564C6"/>
    <w:rsid w:val="00E63039"/>
    <w:rsid w:val="00E9460A"/>
    <w:rsid w:val="00E97095"/>
    <w:rsid w:val="00F21EB4"/>
    <w:rsid w:val="00F76788"/>
    <w:rsid w:val="00F76F89"/>
    <w:rsid w:val="00F8020B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E630"/>
  <w15:docId w15:val="{65F6B3EF-2839-41D0-8CD5-E8D39E3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97"/>
  </w:style>
  <w:style w:type="paragraph" w:styleId="Footer">
    <w:name w:val="footer"/>
    <w:basedOn w:val="Normal"/>
    <w:link w:val="FooterChar"/>
    <w:uiPriority w:val="99"/>
    <w:unhideWhenUsed/>
    <w:rsid w:val="00983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97"/>
  </w:style>
  <w:style w:type="table" w:styleId="TableGrid">
    <w:name w:val="Table Grid"/>
    <w:basedOn w:val="TableNormal"/>
    <w:uiPriority w:val="39"/>
    <w:rsid w:val="00DB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2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s://www.cdc.gov/HAI/pdfs/ppe/ppeposter148.pdf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dc.gov/HAI/pdfs/ppe/ppeposter148.pdf" TargetMode="Externa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hyperlink" Target="https://www.cdc.gov/HAI/pdfs/ppe/ppeposter14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Baltūsienė, Jolita</cp:lastModifiedBy>
  <cp:revision>2</cp:revision>
  <dcterms:created xsi:type="dcterms:W3CDTF">2020-03-26T07:48:00Z</dcterms:created>
  <dcterms:modified xsi:type="dcterms:W3CDTF">2020-03-26T07:48:00Z</dcterms:modified>
</cp:coreProperties>
</file>